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B90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problematica o del bisogno nell’azienda o pubblica amministrazione utente.</w:t>
      </w:r>
    </w:p>
    <w:p w14:paraId="056AEC44" w14:textId="77777777" w:rsidR="00DE482C" w:rsidRDefault="00DE482C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A019AC4" w14:textId="13D9A132" w:rsidR="009B27FE" w:rsidRPr="009115F2" w:rsidRDefault="003A2B01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L’azienda, che ha una decina di punti di vendita di abbigliamento, aveva l’esigenza di semplificare la gestione di più rapporti bancari di accredito degli incassi con carte, nonché di ridurre i costi complessivi di incasso.</w:t>
      </w:r>
    </w:p>
    <w:p w14:paraId="3A9B2CEA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6E16F36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0185CEC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della soluzione tecnologica (tecnologie usate, architettura, ecc.).</w:t>
      </w:r>
    </w:p>
    <w:p w14:paraId="055A800A" w14:textId="77777777" w:rsidR="009B27FE" w:rsidRPr="00507C33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FF0000"/>
          <w:sz w:val="30"/>
          <w:szCs w:val="30"/>
        </w:rPr>
      </w:pPr>
    </w:p>
    <w:p w14:paraId="7BEEA7A4" w14:textId="52E45CE4" w:rsidR="009B27FE" w:rsidRPr="009115F2" w:rsidRDefault="003A2B01" w:rsidP="00507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La soluzione JUSP proposta e accettata dal cliente prevede l’i</w:t>
      </w:r>
      <w:r w:rsidR="006C1B17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ntegrazione</w:t>
      </w: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del sistema di incasso con carte</w:t>
      </w:r>
      <w:r w:rsidR="006C1B17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con il sistema</w:t>
      </w:r>
      <w:r w:rsidR="00B87A6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gestionale</w:t>
      </w:r>
      <w:r w:rsidR="006C1B17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di cassa in uso e </w:t>
      </w: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attivazione della funzionalità del</w:t>
      </w:r>
      <w:r w:rsidR="00B87A6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multi</w:t>
      </w:r>
      <w:r w:rsidR="006B2D51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-</w:t>
      </w:r>
      <w:r w:rsidR="00B87A6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conto,</w:t>
      </w: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feature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esclusiva della soluzione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Jusp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, che prevede la</w:t>
      </w:r>
      <w:r w:rsidR="00B87A6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possibilità di di accreditare con lo stesso apparecchio POS le transazioni </w:t>
      </w: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su più conti correnti, con una gestione accentrata. Ogni singolo terminale POS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Jusp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in ognuno dei punti vendita può accreditare su 5 diversi conti correnti di diverse banche, e la responsabile amministrazione dell’azienda gestisce i conti di accredito con un pannello centralizzato, senza che il singolo punto vendita sia minimamente impattato.</w:t>
      </w:r>
    </w:p>
    <w:p w14:paraId="7074FB94" w14:textId="5239621F" w:rsidR="003A2B01" w:rsidRPr="009115F2" w:rsidRDefault="003A2B01" w:rsidP="00507C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Inoltre, ai fini di ridurre ulteriormente i costi delle transazioni, verrà implementato anche la funzionalità di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multiacquiring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, che permette di risparmiare sui costi dei circuiti (pari a circa lo 0,10% del valore transato delle carte di credito), indirizzando le carte di diversi emittenti all’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acquirer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dello stesso gruppo.</w:t>
      </w:r>
    </w:p>
    <w:p w14:paraId="0DA24A2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6029ED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D94898D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del progetto di implementazione - complessità, tempi, aspetti organizzativi, costi, ecc.</w:t>
      </w:r>
    </w:p>
    <w:p w14:paraId="4E259830" w14:textId="774BF98F" w:rsidR="009B27FE" w:rsidRDefault="009B27FE" w:rsidP="00077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38B1E7A6" w14:textId="0A6B84B7" w:rsidR="00380431" w:rsidRPr="009115F2" w:rsidRDefault="003A2B01" w:rsidP="00077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Il progetto di implementazione è stato organizzato per fasi:</w:t>
      </w:r>
    </w:p>
    <w:p w14:paraId="32EA0BD1" w14:textId="57D41196" w:rsidR="003A2B01" w:rsidRPr="009115F2" w:rsidRDefault="003A2B01" w:rsidP="003A2B01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Messa a disposizione del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multiconto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su tutti i terminali POS</w:t>
      </w:r>
    </w:p>
    <w:p w14:paraId="03DE839B" w14:textId="175F025B" w:rsidR="003A2B01" w:rsidRPr="009115F2" w:rsidRDefault="003A2B01" w:rsidP="003A2B01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Integrazione dell’applicazione di pagamento con il gestionale di cassa dei punti vendita</w:t>
      </w:r>
    </w:p>
    <w:p w14:paraId="7DB39E53" w14:textId="6A1DED5F" w:rsidR="003A2B01" w:rsidRPr="009115F2" w:rsidRDefault="003A2B01" w:rsidP="003A2B01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Progetto pilota sul negozio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flagship</w:t>
      </w:r>
      <w:proofErr w:type="spellEnd"/>
    </w:p>
    <w:p w14:paraId="6ECDD980" w14:textId="3978F5A8" w:rsidR="003A2B01" w:rsidRPr="009115F2" w:rsidRDefault="003A2B01" w:rsidP="003A2B01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Estensione del progetto su altri punti vendita della catena</w:t>
      </w:r>
    </w:p>
    <w:p w14:paraId="192848AE" w14:textId="1614F072" w:rsidR="003A2B01" w:rsidRPr="009115F2" w:rsidRDefault="003A2B01" w:rsidP="003A2B01">
      <w:pPr>
        <w:pStyle w:val="Paragrafoelenco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Implementazione del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multiacquiring</w:t>
      </w:r>
      <w:proofErr w:type="spellEnd"/>
    </w:p>
    <w:p w14:paraId="7E762922" w14:textId="2179D016" w:rsidR="003A2B01" w:rsidRPr="009115F2" w:rsidRDefault="003A2B01" w:rsidP="003A2B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Il progetto è iniziato nel mese di marzo 2016 e si concluderà in autunno. I costi per il cliente sono limitati alla fase di integrazione informatica delle applicazioni e si possono quantificare in circa 10.000€</w:t>
      </w:r>
    </w:p>
    <w:p w14:paraId="134C42FB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6FB24CFB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640230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dei principali benefici raggiunti dall’azienda o pubblica amministrazione utente.</w:t>
      </w:r>
    </w:p>
    <w:p w14:paraId="058DC341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2A884F0F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A4DC000" w14:textId="54C1CC5A" w:rsidR="009B27FE" w:rsidRPr="009115F2" w:rsidRDefault="003A2B01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Il cliente ha da un lato beneficiato di risparmi sul valore transato con le carte di credito e debito (all’incirca 10 mln di euro annui) di circa lo 0,2% da subito e a tendere con il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multiacquiring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dello 0,3%</w:t>
      </w:r>
      <w:r w:rsidR="00507C33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.</w:t>
      </w:r>
    </w:p>
    <w:p w14:paraId="2AF37906" w14:textId="1FF95385" w:rsidR="003A2B01" w:rsidRPr="009115F2" w:rsidRDefault="003A2B01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Inoltre c’è stata una notevole semplificazione del lavoro amministrativo e gestionale degli incassi attraverso la funzionalità del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multiconto</w:t>
      </w:r>
      <w:proofErr w:type="spellEnd"/>
    </w:p>
    <w:p w14:paraId="23CB99C4" w14:textId="77777777" w:rsidR="009B27FE" w:rsidRPr="009115F2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</w:p>
    <w:p w14:paraId="54D6BEE8" w14:textId="77777777" w:rsidR="009B27FE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tilliumWeb-Regular" w:hAnsi="TitilliumWeb-Regular" w:cs="TitilliumWeb-Regular"/>
          <w:color w:val="787878"/>
          <w:sz w:val="30"/>
          <w:szCs w:val="30"/>
        </w:rPr>
      </w:pPr>
    </w:p>
    <w:p w14:paraId="4D66A7CB" w14:textId="77777777" w:rsidR="003A2B01" w:rsidRDefault="009B27FE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787878"/>
          <w:sz w:val="30"/>
          <w:szCs w:val="30"/>
        </w:rPr>
      </w:pPr>
      <w:r>
        <w:rPr>
          <w:rFonts w:ascii="TitilliumWeb-Regular" w:hAnsi="TitilliumWeb-Regular" w:cs="TitilliumWeb-Regular"/>
          <w:color w:val="787878"/>
          <w:sz w:val="30"/>
          <w:szCs w:val="30"/>
        </w:rPr>
        <w:t>Descrizione degli elementi distintivi e di reale innovatività/originalità della soluzione, anche con riferimento a soluzioni «concorrenti».</w:t>
      </w:r>
    </w:p>
    <w:p w14:paraId="258EE49B" w14:textId="77777777" w:rsidR="00507C33" w:rsidRPr="00441B70" w:rsidRDefault="00507C33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FF0000"/>
          <w:sz w:val="30"/>
          <w:szCs w:val="30"/>
        </w:rPr>
      </w:pPr>
    </w:p>
    <w:p w14:paraId="40780CB0" w14:textId="6EADDC17" w:rsidR="00B87A6E" w:rsidRPr="009115F2" w:rsidRDefault="003A2B01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L’elemento di innovatività della soluzione sta nella funzionalità del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multiconto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e del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multiacquiring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.</w:t>
      </w:r>
    </w:p>
    <w:p w14:paraId="0DD99175" w14:textId="70A710F2" w:rsidR="003A2B01" w:rsidRPr="009115F2" w:rsidRDefault="003A2B01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Il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multiconto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è una caratteristica unica della soluzione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Jusp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e nasce anche dall’indipendenza di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Jusp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rispetto alle realtà bancarie, che gli permette di proporre soluzioni autonome e “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bank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indipendent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”.</w:t>
      </w:r>
    </w:p>
    <w:p w14:paraId="3268919D" w14:textId="2192EBF0" w:rsidR="003A2B01" w:rsidRPr="009115F2" w:rsidRDefault="003A2B01" w:rsidP="009B27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Web-Regular" w:hAnsi="TitilliumWeb-Regular" w:cs="TitilliumWeb-Regular"/>
          <w:color w:val="000000" w:themeColor="text1"/>
          <w:sz w:val="30"/>
          <w:szCs w:val="30"/>
        </w:rPr>
      </w:pPr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Il </w:t>
      </w:r>
      <w:proofErr w:type="spellStart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multiacquiring</w:t>
      </w:r>
      <w:proofErr w:type="spellEnd"/>
      <w:r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è anche essa una funzionalità non normalmente offerta dalle banche italia</w:t>
      </w:r>
      <w:r w:rsidR="00A30323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ne, ma che alcuni grandi player della Grande Distribuzione (es. </w:t>
      </w:r>
      <w:proofErr w:type="spellStart"/>
      <w:r w:rsidR="00A30323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Mediaworld</w:t>
      </w:r>
      <w:proofErr w:type="spellEnd"/>
      <w:r w:rsidR="00A30323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, Esselunga) hanno </w:t>
      </w:r>
      <w:proofErr w:type="spellStart"/>
      <w:r w:rsidR="00A30323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internalizzato</w:t>
      </w:r>
      <w:proofErr w:type="spellEnd"/>
      <w:r w:rsidR="00A30323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investendo su risorse e sistemi</w:t>
      </w:r>
      <w:r w:rsidR="00755E9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interni. In questo senso, però, l’investimento iniziale è importante e richiede quindi volumi molto importanti, mentre l’approccio al mercato di </w:t>
      </w:r>
      <w:proofErr w:type="spellStart"/>
      <w:r w:rsidR="00755E9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Jusp</w:t>
      </w:r>
      <w:proofErr w:type="spellEnd"/>
      <w:r w:rsidR="00755E9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è un approccio </w:t>
      </w:r>
      <w:proofErr w:type="spellStart"/>
      <w:r w:rsidR="00755E9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Saas</w:t>
      </w:r>
      <w:proofErr w:type="spellEnd"/>
      <w:r w:rsidR="00755E9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(Software </w:t>
      </w:r>
      <w:proofErr w:type="spellStart"/>
      <w:r w:rsidR="00755E9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>as</w:t>
      </w:r>
      <w:proofErr w:type="spellEnd"/>
      <w:r w:rsidR="00755E9E" w:rsidRPr="009115F2">
        <w:rPr>
          <w:rFonts w:ascii="TitilliumWeb-Regular" w:hAnsi="TitilliumWeb-Regular" w:cs="TitilliumWeb-Regular"/>
          <w:color w:val="000000" w:themeColor="text1"/>
          <w:sz w:val="30"/>
          <w:szCs w:val="30"/>
        </w:rPr>
        <w:t xml:space="preserve"> a Service) per cui con un costo variabile sui volumi, si rende disponibile questo servizio anche a clienti di dimensioni molto inferiori.</w:t>
      </w:r>
      <w:bookmarkStart w:id="0" w:name="_GoBack"/>
      <w:bookmarkEnd w:id="0"/>
    </w:p>
    <w:sectPr w:rsidR="003A2B01" w:rsidRPr="009115F2" w:rsidSect="009F2D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tilliumWe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CE75F7"/>
    <w:multiLevelType w:val="hybridMultilevel"/>
    <w:tmpl w:val="C8C26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FE"/>
    <w:rsid w:val="000777B6"/>
    <w:rsid w:val="000B3E69"/>
    <w:rsid w:val="0029192A"/>
    <w:rsid w:val="00342AD4"/>
    <w:rsid w:val="00380431"/>
    <w:rsid w:val="00395092"/>
    <w:rsid w:val="003A2B01"/>
    <w:rsid w:val="003B3723"/>
    <w:rsid w:val="00441B70"/>
    <w:rsid w:val="00493B36"/>
    <w:rsid w:val="00507C33"/>
    <w:rsid w:val="00513B05"/>
    <w:rsid w:val="00536FC2"/>
    <w:rsid w:val="006B2D51"/>
    <w:rsid w:val="006C1B17"/>
    <w:rsid w:val="00755E9E"/>
    <w:rsid w:val="009115F2"/>
    <w:rsid w:val="009A4347"/>
    <w:rsid w:val="009B27FE"/>
    <w:rsid w:val="009F2DBA"/>
    <w:rsid w:val="00A30323"/>
    <w:rsid w:val="00B87A6E"/>
    <w:rsid w:val="00CC38FC"/>
    <w:rsid w:val="00D33FAB"/>
    <w:rsid w:val="00D73E8B"/>
    <w:rsid w:val="00DE482C"/>
    <w:rsid w:val="00F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BF1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JUSP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Faini</dc:creator>
  <cp:keywords/>
  <dc:description/>
  <cp:lastModifiedBy>Utente di Microsoft Office</cp:lastModifiedBy>
  <cp:revision>3</cp:revision>
  <dcterms:created xsi:type="dcterms:W3CDTF">2016-05-17T13:39:00Z</dcterms:created>
  <dcterms:modified xsi:type="dcterms:W3CDTF">2016-05-17T14:42:00Z</dcterms:modified>
</cp:coreProperties>
</file>