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60" w:rsidRDefault="00171A60"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p>
    <w:p w:rsidR="00E110D3" w:rsidRPr="00E110D3" w:rsidRDefault="00E110D3"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sz w:val="24"/>
          <w:szCs w:val="24"/>
          <w:lang w:val="it-IT"/>
        </w:rPr>
      </w:pPr>
      <w:r w:rsidRPr="00E110D3">
        <w:rPr>
          <w:rFonts w:eastAsia="Times New Roman" w:cstheme="minorHAnsi"/>
          <w:b/>
          <w:sz w:val="24"/>
          <w:szCs w:val="24"/>
          <w:lang w:val="it-IT"/>
        </w:rPr>
        <w:t>Ministero del Lavoro e delle Politiche Sociali - Conquistare i giovani col DIGITALE</w:t>
      </w:r>
    </w:p>
    <w:p w:rsidR="00E110D3" w:rsidRDefault="00E110D3"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p>
    <w:p w:rsidR="00171A60" w:rsidRPr="00171A60" w:rsidRDefault="00171A60"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r w:rsidRPr="00171A60">
        <w:rPr>
          <w:rFonts w:eastAsia="Times New Roman" w:cstheme="minorHAnsi"/>
          <w:sz w:val="24"/>
          <w:szCs w:val="24"/>
          <w:lang w:val="it-IT"/>
        </w:rPr>
        <w:t>“La Garanzia Giovani (Youth Guarantee) è il Piano Europeo per la lotta alla disoccupazione giovanile. Con questo obiettivo sono stati previsti dei finanziamenti per i Paesi Membri con tassi di disoccupazione superiori al 25%, che sono stati investiti in politiche attive di orientamento, istruzione e formazione e inserimento al lavoro, a sostegno dei giovani che non sono impegnati in un'attività lavorativa, né inseriti in un percorso scolastico o formativo (Neet - Not in Education, Employment or Training). In sinergia con la Raccomandazione europea del 2013, l'Italia ha garantito ai giovani al di sotto dei 30 anni un'offerta qualitativamente valida di lavoro, proseguimento degli studi, apprendistato o tirocinio, entro 4 mesi dall'inizio della disoccupazione o dall'uscita dal sistema d'istruzione formale. I giovani tra i 15 e i 29 anni, residenti in Italia – cittadino comunitario o straniero extra UE, regolarmente soggiornante – non impegnati in un’attività lavorativa né inseriti in un corso scolastico o formativo, attraverso la Garanzia Giovani hanno avuto a disposizione un’iniziativa concreta che li ha aiutati ad entrare nel mondo del lavoro, valorizzando le loro attitudini ed il background formativo e professionale.</w:t>
      </w:r>
    </w:p>
    <w:p w:rsidR="00171A60" w:rsidRPr="00171A60" w:rsidRDefault="00171A60"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r w:rsidRPr="00171A60">
        <w:rPr>
          <w:rFonts w:eastAsia="Times New Roman" w:cstheme="minorHAnsi"/>
          <w:sz w:val="24"/>
          <w:szCs w:val="24"/>
          <w:lang w:val="it-IT"/>
        </w:rPr>
        <w:t>Le misure previste a livello nazionale e regionale per offrire opportunità di orientamento, formazione e inserimento al lavoro, in un’ottica di collaborazione tra tutti gli attori pubblici e privati coinvolti sono state le seguenti: colloqui di informazione ed orientamento, bilancio di competenze, formazione, consulenza nella ricerca dell'impiego, tirocini, apprendistati, incentivi all'assunzione per i datori di lavoro, etc.</w:t>
      </w:r>
    </w:p>
    <w:p w:rsidR="00171A60" w:rsidRPr="00171A60" w:rsidRDefault="00171A60"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r w:rsidRPr="00171A60">
        <w:rPr>
          <w:rFonts w:eastAsia="Times New Roman" w:cstheme="minorHAnsi"/>
          <w:sz w:val="24"/>
          <w:szCs w:val="24"/>
          <w:lang w:val="it-IT"/>
        </w:rPr>
        <w:t>Per stabilire in modo opportuno il livello e le caratteristiche dei servizi erogati e aumentarne l'efficacia, si è scelto di introdurre un sistema di profiling che tenga conto della distanza dal mercato del lavoro, in un'ottica di personalizzazione delle azioni erogate: una serie di variabili territoriali, demografiche, familiari e individuali profilano il giovane permettendo così di regolare la misura dell'azione in suo favore. Inoltre è stato dotato il portale ClicLavoro di una serie di funzioni e servizi per facilitare l’intermediazione tra domanda ed offerta sul territorio nazionale ed in generale a supporto del programma Garanzia Giovani:</w:t>
      </w:r>
    </w:p>
    <w:p w:rsidR="00171A60" w:rsidRPr="00171A60" w:rsidRDefault="00171A60"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r w:rsidRPr="00171A60">
        <w:rPr>
          <w:rFonts w:eastAsia="Times New Roman" w:cstheme="minorHAnsi"/>
          <w:sz w:val="24"/>
          <w:szCs w:val="24"/>
          <w:lang w:val="it-IT"/>
        </w:rPr>
        <w:lastRenderedPageBreak/>
        <w:t xml:space="preserve"> - Registrazione al programma «Garanzia Giovani» ed in integrazione col relativo portale dedicato;</w:t>
      </w:r>
    </w:p>
    <w:p w:rsidR="00171A60" w:rsidRPr="00171A60" w:rsidRDefault="00171A60"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r w:rsidRPr="00171A60">
        <w:rPr>
          <w:rFonts w:eastAsia="Times New Roman" w:cstheme="minorHAnsi"/>
          <w:sz w:val="24"/>
          <w:szCs w:val="24"/>
          <w:lang w:val="it-IT"/>
        </w:rPr>
        <w:t xml:space="preserve"> - Integrazione dei servizi a disposizione degli Operatori (Centri per l'impiego e Agenzie per il lavoro) per la gestione di funzionalità specifiche del programma (ad esempio gestione della Scheda Anagrafico-Professionale)</w:t>
      </w:r>
    </w:p>
    <w:p w:rsidR="00171A60" w:rsidRPr="00171A60" w:rsidRDefault="00171A60"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r w:rsidRPr="00171A60">
        <w:rPr>
          <w:rFonts w:eastAsia="Times New Roman" w:cstheme="minorHAnsi"/>
          <w:sz w:val="24"/>
          <w:szCs w:val="24"/>
          <w:lang w:val="it-IT"/>
        </w:rPr>
        <w:t xml:space="preserve"> - Georeferenziazione degli sportelli per il lavoro</w:t>
      </w:r>
    </w:p>
    <w:p w:rsidR="00171A60" w:rsidRDefault="00171A60"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r w:rsidRPr="00171A60">
        <w:rPr>
          <w:rFonts w:eastAsia="Times New Roman" w:cstheme="minorHAnsi"/>
          <w:sz w:val="24"/>
          <w:szCs w:val="24"/>
          <w:lang w:val="it-IT"/>
        </w:rPr>
        <w:t xml:space="preserve"> Inoltre, attraverso l’utilizzo di Oracle Marketing Cloud per la gestione di Campagne informative mirate per i giovani coinvolti, è stato possibile massimizzare l’efficacia della comunicazione delle iniziative sopra riportate per ciascun segmento target identificato. Ciò ha permesso di ottenere risultati lusinghieri, con oltre 600.000 giovani che hanno usufruito di una</w:t>
      </w:r>
      <w:r>
        <w:rPr>
          <w:rFonts w:eastAsia="Times New Roman" w:cstheme="minorHAnsi"/>
          <w:sz w:val="24"/>
          <w:szCs w:val="24"/>
          <w:lang w:val="it-IT"/>
        </w:rPr>
        <w:t xml:space="preserve"> o più delle misure a previste</w:t>
      </w:r>
      <w:r w:rsidRPr="00171A60">
        <w:rPr>
          <w:rFonts w:eastAsia="Times New Roman" w:cstheme="minorHAnsi"/>
          <w:sz w:val="24"/>
          <w:szCs w:val="24"/>
          <w:lang w:val="it-IT"/>
        </w:rPr>
        <w:t>“</w:t>
      </w:r>
      <w:r>
        <w:rPr>
          <w:rFonts w:eastAsia="Times New Roman" w:cstheme="minorHAnsi"/>
          <w:sz w:val="24"/>
          <w:szCs w:val="24"/>
          <w:lang w:val="it-IT"/>
        </w:rPr>
        <w:t>.</w:t>
      </w:r>
    </w:p>
    <w:p w:rsidR="00182D5A" w:rsidRPr="00171A60" w:rsidRDefault="00182D5A" w:rsidP="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val="it-IT"/>
        </w:rPr>
      </w:pPr>
      <w:r>
        <w:rPr>
          <w:rFonts w:eastAsia="Times New Roman" w:cstheme="minorHAnsi"/>
          <w:sz w:val="24"/>
          <w:szCs w:val="24"/>
          <w:lang w:val="it-IT"/>
        </w:rPr>
        <w:t>La capacità d profilare gli utenti e le loro necessita’ unita all’utilizzo di uno strumento sofisticato per la gestione delle campagne ha fatto si che aumentasse significativamente il trust misurato attraverso il tasso di apertura delle comunicazioni ci che trasmettiamo. In alcuni casi ha raggiunto il 50%.</w:t>
      </w:r>
    </w:p>
    <w:p w:rsidR="001C0331" w:rsidRPr="00171A60" w:rsidRDefault="001C0331">
      <w:pPr>
        <w:rPr>
          <w:rFonts w:cstheme="minorHAnsi"/>
          <w:sz w:val="24"/>
          <w:szCs w:val="24"/>
          <w:lang w:val="it-IT"/>
        </w:rPr>
      </w:pPr>
      <w:bookmarkStart w:id="0" w:name="_GoBack"/>
      <w:bookmarkEnd w:id="0"/>
    </w:p>
    <w:sectPr w:rsidR="001C0331" w:rsidRPr="00171A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60"/>
    <w:rsid w:val="00171A60"/>
    <w:rsid w:val="00182D5A"/>
    <w:rsid w:val="001C0331"/>
    <w:rsid w:val="00AD1F92"/>
    <w:rsid w:val="00D6235B"/>
    <w:rsid w:val="00E1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1A6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1A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2884-470B-48F7-AF24-4E008304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Cassola</dc:creator>
  <cp:lastModifiedBy>Stefano Cassola</cp:lastModifiedBy>
  <cp:revision>6</cp:revision>
  <dcterms:created xsi:type="dcterms:W3CDTF">2018-04-18T17:48:00Z</dcterms:created>
  <dcterms:modified xsi:type="dcterms:W3CDTF">2018-04-20T14:45:00Z</dcterms:modified>
</cp:coreProperties>
</file>